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27" w:rsidRPr="009D0D27" w:rsidRDefault="009D0D27" w:rsidP="009D0D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>We are </w:t>
      </w:r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Indo European Chamber of Small and Medium Enterprises (IECSME). </w:t>
      </w:r>
      <w:r w:rsidRPr="009D0D27">
        <w:rPr>
          <w:rFonts w:asciiTheme="majorHAnsi" w:eastAsia="Times New Roman" w:hAnsiTheme="majorHAnsi" w:cs="Times New Roman"/>
          <w:color w:val="073763"/>
          <w:szCs w:val="22"/>
        </w:rPr>
        <w:t>IECSME</w:t>
      </w:r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 </w:t>
      </w:r>
      <w:r w:rsidRPr="009D0D27">
        <w:rPr>
          <w:rFonts w:asciiTheme="majorHAnsi" w:eastAsia="Times New Roman" w:hAnsiTheme="majorHAnsi" w:cs="Times New Roman"/>
          <w:color w:val="073763"/>
          <w:szCs w:val="22"/>
        </w:rPr>
        <w:t>aims to promote &amp; develop the exchange of information, experiences, methodologies to help the integration among-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st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companies,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organisations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and Governments. IECSME helps in the stimulation of the birth of partnership to collaborate in sector based projects. The purpose of IECSME is to promote, design and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realise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> international and national projects &amp; infuse social development. </w:t>
      </w:r>
    </w:p>
    <w:p w:rsidR="009D0D27" w:rsidRPr="009D0D27" w:rsidRDefault="009D0D27" w:rsidP="009D0D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Cs w:val="22"/>
        </w:rPr>
      </w:pPr>
    </w:p>
    <w:p w:rsidR="009D0D27" w:rsidRPr="009D0D27" w:rsidRDefault="009D0D27" w:rsidP="009D0D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>We are working for creating </w:t>
      </w:r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Self Employed CEOs </w:t>
      </w:r>
      <w:r w:rsidRPr="009D0D27">
        <w:rPr>
          <w:rFonts w:asciiTheme="majorHAnsi" w:eastAsia="Times New Roman" w:hAnsiTheme="majorHAnsi" w:cs="Times New Roman"/>
          <w:color w:val="073763"/>
          <w:szCs w:val="22"/>
        </w:rPr>
        <w:t>for Rural India through </w:t>
      </w:r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IECSME KAMDHENU CHAIRS</w:t>
      </w:r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 (created as per the guidelines of University Grants Commission, Ministry of Education and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Rashtriya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Kamdhenu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Aayog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, Government of India). Our Gram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Panchayats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> (Villages) are like unexplored treasure and have not been evaluated till date. We would like to launch a Program of </w:t>
      </w:r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Self Employed CEOs (Chief Executive Officer)/ VIIP (Village Inclusive Investment Planner)</w:t>
      </w:r>
      <w:r w:rsidRPr="009D0D27">
        <w:rPr>
          <w:rFonts w:asciiTheme="majorHAnsi" w:eastAsia="Times New Roman" w:hAnsiTheme="majorHAnsi" w:cs="Times New Roman"/>
          <w:color w:val="073763"/>
          <w:szCs w:val="22"/>
        </w:rPr>
        <w:t>.  </w:t>
      </w:r>
    </w:p>
    <w:p w:rsidR="009D0D27" w:rsidRPr="009D0D27" w:rsidRDefault="009D0D27" w:rsidP="009D0D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Cs w:val="22"/>
        </w:rPr>
      </w:pPr>
    </w:p>
    <w:p w:rsidR="009D0D27" w:rsidRPr="009D0D27" w:rsidRDefault="009D0D27" w:rsidP="009D0D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Yoga University of Americas, Florida, USA</w:t>
      </w:r>
      <w:r w:rsidRPr="009D0D27">
        <w:rPr>
          <w:rFonts w:asciiTheme="majorHAnsi" w:eastAsia="Times New Roman" w:hAnsiTheme="majorHAnsi" w:cs="Times New Roman"/>
          <w:color w:val="073763"/>
          <w:szCs w:val="22"/>
        </w:rPr>
        <w:t> is our knowledge Partner and we are working with them as per the guidelines of New Education Policy 2020 for dual Degree program across the country.</w:t>
      </w:r>
    </w:p>
    <w:p w:rsidR="009D0D27" w:rsidRPr="009D0D27" w:rsidRDefault="009D0D27" w:rsidP="009D0D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Cs w:val="22"/>
        </w:rPr>
      </w:pPr>
    </w:p>
    <w:p w:rsidR="009D0D27" w:rsidRPr="009D0D27" w:rsidRDefault="009D0D27" w:rsidP="009D0D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>We</w:t>
      </w:r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 </w:t>
      </w:r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are working on the program of creation of Self Employed CEO/ VIIP (Village Inclusive Investment Planner) with the Financial Inclusion of Rs. 1 - 2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Crores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per Gram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Panchayat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 (Rs. 100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Crore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</w:t>
      </w:r>
      <w:proofErr w:type="gram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Per</w:t>
      </w:r>
      <w:proofErr w:type="gram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Development Block) of India. We have already signed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MoU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with various Universities in Uttar Pradesh, Uttarakhand, Himachal Pradesh, Madhya Pradesh and Karnataka for creating Self Employed CEOs/ VIIP in the respective States.</w:t>
      </w:r>
    </w:p>
    <w:p w:rsidR="009D0D27" w:rsidRPr="009D0D27" w:rsidRDefault="009D0D27" w:rsidP="009D0D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Cs w:val="22"/>
        </w:rPr>
      </w:pPr>
    </w:p>
    <w:p w:rsidR="009D0D27" w:rsidRPr="009D0D27" w:rsidRDefault="009D0D27" w:rsidP="009D0D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We have also briefed about this program to PMO and many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Hon'ble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Members of Parliament have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reccommended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it to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Hon'ble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Prime Minister. We have already written to NITI AAYOG to start considering </w:t>
      </w:r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 xml:space="preserve">Gram </w:t>
      </w:r>
      <w:proofErr w:type="spellStart"/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Panchayats</w:t>
      </w:r>
      <w:proofErr w:type="spellEnd"/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 xml:space="preserve"> as an Enterprise</w:t>
      </w:r>
      <w:r w:rsidRPr="009D0D27">
        <w:rPr>
          <w:rFonts w:asciiTheme="majorHAnsi" w:eastAsia="Times New Roman" w:hAnsiTheme="majorHAnsi" w:cs="Times New Roman"/>
          <w:color w:val="073763"/>
          <w:szCs w:val="22"/>
        </w:rPr>
        <w:t>.</w:t>
      </w:r>
    </w:p>
    <w:p w:rsidR="009D0D27" w:rsidRPr="009D0D27" w:rsidRDefault="009D0D27" w:rsidP="009D0D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Cs w:val="22"/>
        </w:rPr>
      </w:pPr>
    </w:p>
    <w:p w:rsidR="009D0D27" w:rsidRPr="009D0D27" w:rsidRDefault="009D0D27" w:rsidP="009D0D27">
      <w:pPr>
        <w:shd w:val="clear" w:color="auto" w:fill="FFFFFF"/>
        <w:spacing w:after="0" w:line="253" w:lineRule="atLeast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>Time has come where we have to do this hand holding by involving the Higher Education. 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Shri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Vijay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Tiwari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, President, IECSME as a National Coordinator of AICTE - IECSME SAGY Initiative, Ministry of HRD, Government of India had initiated a programme where we had tried to orient about 80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lakh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students of 10,500 Institutions affiliated with AICTE with Rural India in 2017 and later in 2019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Hon'ble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Prime Minister established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Rashtriya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Kamdhenu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Aayog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wherein he as a coordinator for </w:t>
      </w:r>
      <w:proofErr w:type="spellStart"/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Kamdhenu</w:t>
      </w:r>
      <w:proofErr w:type="spellEnd"/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 xml:space="preserve"> Chairs</w:t>
      </w:r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 tried to create these chairs in all the Indian Universities with similar idea, before that he was also National Coordinator for Rural Business Hubs, Ministry of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Panchayati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Raj, Government of India and he is our Chief Mentor in this program.</w:t>
      </w:r>
    </w:p>
    <w:p w:rsidR="009D0D27" w:rsidRPr="009D0D27" w:rsidRDefault="009D0D27" w:rsidP="009D0D27">
      <w:pPr>
        <w:shd w:val="clear" w:color="auto" w:fill="FFFFFF"/>
        <w:spacing w:after="0" w:line="253" w:lineRule="atLeast"/>
        <w:jc w:val="both"/>
        <w:rPr>
          <w:rFonts w:asciiTheme="majorHAnsi" w:eastAsia="Times New Roman" w:hAnsiTheme="majorHAnsi" w:cs="Times New Roman"/>
          <w:color w:val="222222"/>
          <w:szCs w:val="22"/>
        </w:rPr>
      </w:pPr>
    </w:p>
    <w:p w:rsidR="009D0D27" w:rsidRPr="009D0D27" w:rsidRDefault="009D0D27" w:rsidP="009D0D27">
      <w:pPr>
        <w:shd w:val="clear" w:color="auto" w:fill="FFFFFF"/>
        <w:spacing w:after="0" w:line="253" w:lineRule="atLeast"/>
        <w:jc w:val="both"/>
        <w:rPr>
          <w:rFonts w:asciiTheme="majorHAnsi" w:eastAsia="Times New Roman" w:hAnsiTheme="majorHAnsi" w:cs="Times New Roman"/>
          <w:color w:val="222222"/>
          <w:szCs w:val="22"/>
        </w:rPr>
      </w:pPr>
    </w:p>
    <w:p w:rsidR="009D0D27" w:rsidRPr="009D0D27" w:rsidRDefault="009D0D27" w:rsidP="009D0D27">
      <w:pPr>
        <w:shd w:val="clear" w:color="auto" w:fill="FFFFFF"/>
        <w:spacing w:after="0" w:line="253" w:lineRule="atLeast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You can watch the proceedings on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Kamdhenu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Chair on below links-</w:t>
      </w:r>
    </w:p>
    <w:p w:rsidR="009D0D27" w:rsidRPr="009D0D27" w:rsidRDefault="009D0D27" w:rsidP="009D0D27">
      <w:pPr>
        <w:shd w:val="clear" w:color="auto" w:fill="FFFFFF"/>
        <w:spacing w:after="0" w:line="253" w:lineRule="atLeast"/>
        <w:jc w:val="both"/>
        <w:rPr>
          <w:rFonts w:asciiTheme="majorHAnsi" w:eastAsia="Times New Roman" w:hAnsiTheme="majorHAnsi" w:cs="Times New Roman"/>
          <w:color w:val="222222"/>
          <w:szCs w:val="22"/>
        </w:rPr>
      </w:pPr>
    </w:p>
    <w:p w:rsidR="009D0D27" w:rsidRPr="009D0D27" w:rsidRDefault="009D0D27" w:rsidP="009D0D27">
      <w:pPr>
        <w:shd w:val="clear" w:color="auto" w:fill="FFFFFF"/>
        <w:spacing w:after="0" w:line="253" w:lineRule="atLeast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hyperlink r:id="rId4" w:tgtFrame="_blank" w:history="1">
        <w:r w:rsidRPr="009D0D27">
          <w:rPr>
            <w:rFonts w:asciiTheme="majorHAnsi" w:eastAsia="Times New Roman" w:hAnsiTheme="majorHAnsi" w:cs="Times New Roman"/>
            <w:color w:val="1155CC"/>
            <w:szCs w:val="22"/>
            <w:u w:val="single"/>
          </w:rPr>
          <w:t>https://www.youtube.com/watch?v=ygXcRiTOeEY</w:t>
        </w:r>
      </w:hyperlink>
      <w:r w:rsidRPr="009D0D27">
        <w:rPr>
          <w:rFonts w:asciiTheme="majorHAnsi" w:eastAsia="Times New Roman" w:hAnsiTheme="majorHAnsi" w:cs="Times New Roman"/>
          <w:color w:val="073763"/>
          <w:szCs w:val="22"/>
        </w:rPr>
        <w:t> </w:t>
      </w:r>
    </w:p>
    <w:p w:rsidR="009D0D27" w:rsidRPr="009D0D27" w:rsidRDefault="009D0D27" w:rsidP="009D0D27">
      <w:pPr>
        <w:shd w:val="clear" w:color="auto" w:fill="FFFFFF"/>
        <w:spacing w:after="0" w:line="253" w:lineRule="atLeast"/>
        <w:jc w:val="both"/>
        <w:rPr>
          <w:rFonts w:asciiTheme="majorHAnsi" w:eastAsia="Times New Roman" w:hAnsiTheme="majorHAnsi" w:cs="Times New Roman"/>
          <w:color w:val="222222"/>
          <w:szCs w:val="22"/>
        </w:rPr>
      </w:pPr>
    </w:p>
    <w:p w:rsidR="009D0D27" w:rsidRPr="009D0D27" w:rsidRDefault="009D0D27" w:rsidP="009D0D27">
      <w:pPr>
        <w:shd w:val="clear" w:color="auto" w:fill="FFFFFF"/>
        <w:spacing w:after="0" w:line="253" w:lineRule="atLeast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You can also watch the video of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Shri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Vijay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Tiwari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for some guidelines in this regard - </w:t>
      </w:r>
    </w:p>
    <w:p w:rsidR="009D0D27" w:rsidRPr="009D0D27" w:rsidRDefault="009D0D27" w:rsidP="009D0D27">
      <w:pPr>
        <w:shd w:val="clear" w:color="auto" w:fill="FFFFFF"/>
        <w:spacing w:after="0" w:line="253" w:lineRule="atLeast"/>
        <w:jc w:val="both"/>
        <w:rPr>
          <w:rFonts w:asciiTheme="majorHAnsi" w:eastAsia="Times New Roman" w:hAnsiTheme="majorHAnsi" w:cs="Times New Roman"/>
          <w:color w:val="222222"/>
          <w:szCs w:val="22"/>
        </w:rPr>
      </w:pPr>
    </w:p>
    <w:p w:rsidR="009D0D27" w:rsidRPr="009D0D27" w:rsidRDefault="009D0D27" w:rsidP="009D0D27">
      <w:pPr>
        <w:shd w:val="clear" w:color="auto" w:fill="FFFFFF"/>
        <w:spacing w:after="0" w:line="253" w:lineRule="atLeast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hyperlink r:id="rId5" w:tgtFrame="_blank" w:history="1">
        <w:r w:rsidRPr="009D0D27">
          <w:rPr>
            <w:rFonts w:asciiTheme="majorHAnsi" w:eastAsia="Times New Roman" w:hAnsiTheme="majorHAnsi" w:cs="Times New Roman"/>
            <w:color w:val="1155CC"/>
            <w:szCs w:val="22"/>
            <w:u w:val="single"/>
          </w:rPr>
          <w:t>https://www.youtube.com/watch?v=80OszMJTMCU&amp;t=4s</w:t>
        </w:r>
      </w:hyperlink>
    </w:p>
    <w:p w:rsidR="009D0D27" w:rsidRPr="009D0D27" w:rsidRDefault="009D0D27" w:rsidP="009D0D27">
      <w:pPr>
        <w:shd w:val="clear" w:color="auto" w:fill="FFFFFF"/>
        <w:spacing w:after="0" w:line="253" w:lineRule="atLeast"/>
        <w:jc w:val="both"/>
        <w:rPr>
          <w:rFonts w:asciiTheme="majorHAnsi" w:eastAsia="Times New Roman" w:hAnsiTheme="majorHAnsi" w:cs="Times New Roman"/>
          <w:color w:val="222222"/>
          <w:szCs w:val="22"/>
        </w:rPr>
      </w:pPr>
    </w:p>
    <w:p w:rsidR="009D0D27" w:rsidRPr="009D0D27" w:rsidRDefault="009D0D27" w:rsidP="009D0D27">
      <w:pPr>
        <w:shd w:val="clear" w:color="auto" w:fill="FFFFFF"/>
        <w:spacing w:after="0" w:line="253" w:lineRule="atLeast"/>
        <w:jc w:val="both"/>
        <w:rPr>
          <w:rFonts w:asciiTheme="majorHAnsi" w:eastAsia="Times New Roman" w:hAnsiTheme="majorHAnsi" w:cs="Times New Roman"/>
          <w:color w:val="222222"/>
          <w:szCs w:val="22"/>
        </w:rPr>
      </w:pPr>
    </w:p>
    <w:p w:rsidR="009D0D27" w:rsidRPr="009D0D27" w:rsidRDefault="009D0D27" w:rsidP="009D0D27">
      <w:pPr>
        <w:shd w:val="clear" w:color="auto" w:fill="FFFFFF"/>
        <w:spacing w:after="0" w:line="253" w:lineRule="atLeast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>Apart from that you can see many videos on YouTube LOTUS TOWER TV for more details.</w:t>
      </w:r>
    </w:p>
    <w:p w:rsidR="009D0D27" w:rsidRPr="009D0D27" w:rsidRDefault="009D0D27" w:rsidP="009D0D27">
      <w:pPr>
        <w:shd w:val="clear" w:color="auto" w:fill="FFFFFF"/>
        <w:spacing w:after="0" w:line="253" w:lineRule="atLeast"/>
        <w:jc w:val="both"/>
        <w:rPr>
          <w:rFonts w:asciiTheme="majorHAnsi" w:eastAsia="Times New Roman" w:hAnsiTheme="majorHAnsi" w:cs="Times New Roman"/>
          <w:color w:val="222222"/>
          <w:szCs w:val="22"/>
        </w:rPr>
      </w:pPr>
    </w:p>
    <w:p w:rsidR="009D0D27" w:rsidRPr="009D0D27" w:rsidRDefault="009D0D27" w:rsidP="009D0D27">
      <w:pPr>
        <w:shd w:val="clear" w:color="auto" w:fill="FFFFFF"/>
        <w:spacing w:after="0" w:line="253" w:lineRule="atLeast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lastRenderedPageBreak/>
        <w:t xml:space="preserve">We have created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specialised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courses with </w:t>
      </w:r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Yoga University of the Americas, Florida, USA</w:t>
      </w:r>
      <w:r w:rsidRPr="009D0D27">
        <w:rPr>
          <w:rFonts w:asciiTheme="majorHAnsi" w:eastAsia="Times New Roman" w:hAnsiTheme="majorHAnsi" w:cs="Times New Roman"/>
          <w:color w:val="073763"/>
          <w:szCs w:val="22"/>
        </w:rPr>
        <w:t> and are linking this up with the </w:t>
      </w:r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KAMDHENU CHAIRS</w:t>
      </w:r>
      <w:r w:rsidRPr="009D0D27">
        <w:rPr>
          <w:rFonts w:asciiTheme="majorHAnsi" w:eastAsia="Times New Roman" w:hAnsiTheme="majorHAnsi" w:cs="Times New Roman"/>
          <w:color w:val="073763"/>
          <w:szCs w:val="22"/>
        </w:rPr>
        <w:t> and </w:t>
      </w:r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AICTE - IECSME SAGY Initiative 14 Points declaration</w:t>
      </w:r>
      <w:r w:rsidRPr="009D0D27">
        <w:rPr>
          <w:rFonts w:asciiTheme="majorHAnsi" w:eastAsia="Times New Roman" w:hAnsiTheme="majorHAnsi" w:cs="Times New Roman"/>
          <w:color w:val="073763"/>
          <w:szCs w:val="22"/>
        </w:rPr>
        <w:t>. </w:t>
      </w:r>
    </w:p>
    <w:p w:rsidR="009D0D27" w:rsidRPr="009D0D27" w:rsidRDefault="009D0D27" w:rsidP="009D0D27">
      <w:pPr>
        <w:shd w:val="clear" w:color="auto" w:fill="FFFFFF"/>
        <w:spacing w:after="0" w:line="253" w:lineRule="atLeast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> </w:t>
      </w:r>
    </w:p>
    <w:p w:rsidR="009D0D27" w:rsidRPr="009D0D27" w:rsidRDefault="009D0D27" w:rsidP="009D0D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Cs w:val="22"/>
        </w:rPr>
      </w:pPr>
      <w:r w:rsidRPr="009D0D27">
        <w:rPr>
          <w:rFonts w:asciiTheme="majorHAnsi" w:eastAsia="Times New Roman" w:hAnsiTheme="majorHAnsi" w:cs="Arial"/>
          <w:color w:val="073763"/>
          <w:szCs w:val="22"/>
        </w:rPr>
        <w:t xml:space="preserve">We have also signed a </w:t>
      </w:r>
      <w:proofErr w:type="spellStart"/>
      <w:r w:rsidRPr="009D0D27">
        <w:rPr>
          <w:rFonts w:asciiTheme="majorHAnsi" w:eastAsia="Times New Roman" w:hAnsiTheme="majorHAnsi" w:cs="Arial"/>
          <w:color w:val="073763"/>
          <w:szCs w:val="22"/>
        </w:rPr>
        <w:t>MoU</w:t>
      </w:r>
      <w:proofErr w:type="spellEnd"/>
      <w:r w:rsidRPr="009D0D27">
        <w:rPr>
          <w:rFonts w:asciiTheme="majorHAnsi" w:eastAsia="Times New Roman" w:hAnsiTheme="majorHAnsi" w:cs="Arial"/>
          <w:color w:val="073763"/>
          <w:szCs w:val="22"/>
        </w:rPr>
        <w:t xml:space="preserve"> with the </w:t>
      </w:r>
      <w:r w:rsidRPr="009D0D27">
        <w:rPr>
          <w:rFonts w:asciiTheme="majorHAnsi" w:eastAsia="Times New Roman" w:hAnsiTheme="majorHAnsi" w:cs="Arial"/>
          <w:b/>
          <w:bCs/>
          <w:color w:val="073763"/>
          <w:szCs w:val="22"/>
        </w:rPr>
        <w:t xml:space="preserve">Union of European Experts Chambers (UCEE), </w:t>
      </w:r>
      <w:proofErr w:type="spellStart"/>
      <w:r w:rsidRPr="009D0D27">
        <w:rPr>
          <w:rFonts w:asciiTheme="majorHAnsi" w:eastAsia="Times New Roman" w:hAnsiTheme="majorHAnsi" w:cs="Arial"/>
          <w:b/>
          <w:bCs/>
          <w:color w:val="073763"/>
          <w:szCs w:val="22"/>
        </w:rPr>
        <w:t>Brussel</w:t>
      </w:r>
      <w:proofErr w:type="spellEnd"/>
      <w:r w:rsidRPr="009D0D27">
        <w:rPr>
          <w:rFonts w:asciiTheme="majorHAnsi" w:eastAsia="Times New Roman" w:hAnsiTheme="majorHAnsi" w:cs="Arial"/>
          <w:b/>
          <w:bCs/>
          <w:color w:val="073763"/>
          <w:szCs w:val="22"/>
        </w:rPr>
        <w:t>, Belgium </w:t>
      </w:r>
      <w:r w:rsidRPr="009D0D27">
        <w:rPr>
          <w:rFonts w:asciiTheme="majorHAnsi" w:eastAsia="Times New Roman" w:hAnsiTheme="majorHAnsi" w:cs="Arial"/>
          <w:color w:val="073763"/>
          <w:szCs w:val="22"/>
        </w:rPr>
        <w:t>and they are ready to welcome our States/ Members of Parliaments to present their proposals to</w:t>
      </w:r>
      <w:r w:rsidRPr="009D0D27">
        <w:rPr>
          <w:rFonts w:asciiTheme="majorHAnsi" w:eastAsia="Times New Roman" w:hAnsiTheme="majorHAnsi" w:cs="Arial"/>
          <w:b/>
          <w:bCs/>
          <w:color w:val="073763"/>
          <w:szCs w:val="22"/>
        </w:rPr>
        <w:t> </w:t>
      </w:r>
      <w:r w:rsidRPr="009D0D27">
        <w:rPr>
          <w:rFonts w:asciiTheme="majorHAnsi" w:eastAsia="Times New Roman" w:hAnsiTheme="majorHAnsi" w:cs="Arial"/>
          <w:color w:val="073763"/>
          <w:szCs w:val="22"/>
        </w:rPr>
        <w:t>board members.</w:t>
      </w:r>
    </w:p>
    <w:p w:rsidR="009D0D27" w:rsidRPr="009D0D27" w:rsidRDefault="009D0D27" w:rsidP="009D0D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Cs w:val="22"/>
        </w:rPr>
      </w:pPr>
    </w:p>
    <w:p w:rsidR="009D0D27" w:rsidRPr="009D0D27" w:rsidRDefault="009D0D27" w:rsidP="009D0D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Our focus will be on the 29 subjects of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Panchayati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Raj by involving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Khadi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and Village Industries Sector, Cow, Youth and Mother (Women)</w:t>
      </w:r>
    </w:p>
    <w:p w:rsidR="009D0D27" w:rsidRPr="009D0D27" w:rsidRDefault="009D0D27" w:rsidP="009D0D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> </w:t>
      </w:r>
    </w:p>
    <w:p w:rsidR="009D0D27" w:rsidRPr="009D0D27" w:rsidRDefault="009D0D27" w:rsidP="009D0D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ACTION PLAN -</w:t>
      </w:r>
    </w:p>
    <w:p w:rsidR="009D0D27" w:rsidRPr="009D0D27" w:rsidRDefault="009D0D27" w:rsidP="009D0D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Cs w:val="22"/>
        </w:rPr>
      </w:pPr>
    </w:p>
    <w:p w:rsidR="009D0D27" w:rsidRPr="009D0D27" w:rsidRDefault="009D0D27" w:rsidP="009D0D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>We offer the following people oriented implementable plan for action –</w:t>
      </w:r>
    </w:p>
    <w:p w:rsidR="009D0D27" w:rsidRPr="009D0D27" w:rsidRDefault="009D0D27" w:rsidP="009D0D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Cs w:val="22"/>
        </w:rPr>
      </w:pP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>1.  Help in creating </w:t>
      </w:r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IECSME KAMDHENU CHAIRS</w:t>
      </w:r>
      <w:r w:rsidRPr="009D0D27">
        <w:rPr>
          <w:rFonts w:asciiTheme="majorHAnsi" w:eastAsia="Times New Roman" w:hAnsiTheme="majorHAnsi" w:cs="Times New Roman"/>
          <w:color w:val="073763"/>
          <w:szCs w:val="22"/>
        </w:rPr>
        <w:t> in all the Universities/ Institutions.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>2. Based on the presentation of the </w:t>
      </w:r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 xml:space="preserve">Special Spiritual Zone </w:t>
      </w:r>
      <w:proofErr w:type="spellStart"/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Ayodhya</w:t>
      </w:r>
      <w:proofErr w:type="spellEnd"/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 xml:space="preserve"> and Gorakhpur Model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3. We will be working in all the Blocks and Gram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Panchayats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for training of the VIIP - Village Inclusive Investment Planner, BIIP - Block Inclusive Investment Planner and WIIP - Ward Inclusive Investment Planner.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>4. We will use villages and blocks as the centre for activation 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>5. 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Localisation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>, mass awareness, convergence, use of digital, local resources, urge to improve by self initiatives, local</w:t>
      </w:r>
      <w:proofErr w:type="gram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  market</w:t>
      </w:r>
      <w:proofErr w:type="gramEnd"/>
      <w:r w:rsidRPr="009D0D27">
        <w:rPr>
          <w:rFonts w:asciiTheme="majorHAnsi" w:eastAsia="Times New Roman" w:hAnsiTheme="majorHAnsi" w:cs="Times New Roman"/>
          <w:color w:val="073763"/>
          <w:szCs w:val="22"/>
        </w:rPr>
        <w:t> and traditional skills to be used.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6. A holistic, convergence, cost reducing, transparent with women participation is planned by the local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organiser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>.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7. This is all bankable, transparent, inclusive consultancies,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salahkar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sewa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>.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8. We propose a minimum 1-2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crore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viable investment plan per Gram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Panchayat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>, where the local resources of the</w:t>
      </w:r>
      <w:proofErr w:type="gram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  entrepreneur</w:t>
      </w:r>
      <w:proofErr w:type="gram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will be used as minimum 100% security to the financier bank.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9. 10% hand holding charges will be part of the project, with 5% for the village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organiser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> and rest for block, district,</w:t>
      </w:r>
      <w:proofErr w:type="gram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  state</w:t>
      </w:r>
      <w:proofErr w:type="gram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and national services providers.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10. This is a movement for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Swabhiman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where the borrower, the banker and the service facilitator are involved.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11. 29 subjects earmarked for the gram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swaraj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with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swabhimani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mission will be the priority, holistic health, local</w:t>
      </w:r>
      <w:proofErr w:type="gram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  planning</w:t>
      </w:r>
      <w:proofErr w:type="gram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with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digitisation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> is must.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>12. All local unused and underused infrastructure, lands, buildings etc will be used by the local body on PPP basis for</w:t>
      </w:r>
      <w:proofErr w:type="gram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  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swaraj</w:t>
      </w:r>
      <w:proofErr w:type="spellEnd"/>
      <w:proofErr w:type="gram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and local jobs. 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lastRenderedPageBreak/>
        <w:t xml:space="preserve">13. The processes and systems in the ongoing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programmes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 are difficult, but if single window service for villages could be implemented we will be too happy to link them up with these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swabhimani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programmes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>. 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>14. We are sure that with responsible district administration, we could do much better in this post COVID era. 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15.  The Spiritual Dimensions of Sustainable Development or </w:t>
      </w:r>
      <w:proofErr w:type="gram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SDOSD,</w:t>
      </w:r>
      <w:proofErr w:type="gram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also would propel this movement with people.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>16. Our approach is </w:t>
      </w:r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KISS - Keep it simple and straight</w:t>
      </w:r>
      <w:r w:rsidRPr="009D0D27">
        <w:rPr>
          <w:rFonts w:asciiTheme="majorHAnsi" w:eastAsia="Times New Roman" w:hAnsiTheme="majorHAnsi" w:cs="Times New Roman"/>
          <w:color w:val="073763"/>
          <w:szCs w:val="22"/>
        </w:rPr>
        <w:t>.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>17. We are following the principle of </w:t>
      </w:r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7 I, 6 P and 5 C</w:t>
      </w:r>
      <w:r w:rsidRPr="009D0D27">
        <w:rPr>
          <w:rFonts w:asciiTheme="majorHAnsi" w:eastAsia="Times New Roman" w:hAnsiTheme="majorHAnsi" w:cs="Times New Roman"/>
          <w:color w:val="073763"/>
          <w:szCs w:val="22"/>
        </w:rPr>
        <w:t> in this entire programme to speed up and clear the bottlenecks -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7 I – Innovative, Implementable, Investigative and Inclusive Ideas for India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 xml:space="preserve">6 P – Public, Private, </w:t>
      </w:r>
      <w:proofErr w:type="spellStart"/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Panchayat</w:t>
      </w:r>
      <w:proofErr w:type="spellEnd"/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, Profitable, Progressive, Partnership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proofErr w:type="gramStart"/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5 C – Convergence, Coordination, Cost Reduction, Clarity and Capital Output Ratio.</w:t>
      </w:r>
      <w:proofErr w:type="gramEnd"/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>18. Our focus will be on doubling the </w:t>
      </w:r>
      <w:r w:rsidRPr="009D0D27">
        <w:rPr>
          <w:rFonts w:asciiTheme="majorHAnsi" w:eastAsia="Times New Roman" w:hAnsiTheme="majorHAnsi" w:cs="Times New Roman"/>
          <w:b/>
          <w:bCs/>
          <w:color w:val="073763"/>
          <w:szCs w:val="22"/>
        </w:rPr>
        <w:t>Credit Deposit Ratio</w:t>
      </w:r>
      <w:r w:rsidRPr="009D0D27">
        <w:rPr>
          <w:rFonts w:asciiTheme="majorHAnsi" w:eastAsia="Times New Roman" w:hAnsiTheme="majorHAnsi" w:cs="Times New Roman"/>
          <w:color w:val="073763"/>
          <w:szCs w:val="22"/>
        </w:rPr>
        <w:t> of India by providing the Bank loans with 200 %</w:t>
      </w:r>
      <w:proofErr w:type="gram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  Security</w:t>
      </w:r>
      <w:proofErr w:type="gram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&amp; Insurance in various viable projects in the 29 subjects of </w:t>
      </w:r>
      <w:proofErr w:type="spell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Panchayati</w:t>
      </w:r>
      <w:proofErr w:type="spell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Raj in the first phase.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>19. Common Service Centers, Bank Correspondents, Institutions, NGOs etc</w:t>
      </w:r>
      <w:proofErr w:type="gram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..</w:t>
      </w:r>
      <w:proofErr w:type="gram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</w:t>
      </w:r>
      <w:proofErr w:type="gramStart"/>
      <w:r w:rsidRPr="009D0D27">
        <w:rPr>
          <w:rFonts w:asciiTheme="majorHAnsi" w:eastAsia="Times New Roman" w:hAnsiTheme="majorHAnsi" w:cs="Times New Roman"/>
          <w:color w:val="073763"/>
          <w:szCs w:val="22"/>
        </w:rPr>
        <w:t>will</w:t>
      </w:r>
      <w:proofErr w:type="gramEnd"/>
      <w:r w:rsidRPr="009D0D27">
        <w:rPr>
          <w:rFonts w:asciiTheme="majorHAnsi" w:eastAsia="Times New Roman" w:hAnsiTheme="majorHAnsi" w:cs="Times New Roman"/>
          <w:color w:val="073763"/>
          <w:szCs w:val="22"/>
        </w:rPr>
        <w:t xml:space="preserve"> be the nodal points at the Village -  Block level for the project making &amp; follow-ups etc...</w:t>
      </w:r>
    </w:p>
    <w:p w:rsidR="009D0D27" w:rsidRPr="009D0D27" w:rsidRDefault="009D0D27" w:rsidP="009D0D27">
      <w:pPr>
        <w:shd w:val="clear" w:color="auto" w:fill="FFFFFF"/>
        <w:spacing w:line="240" w:lineRule="auto"/>
        <w:ind w:left="908"/>
        <w:jc w:val="both"/>
        <w:rPr>
          <w:rFonts w:asciiTheme="majorHAnsi" w:eastAsia="Times New Roman" w:hAnsiTheme="majorHAnsi" w:cs="Times New Roman"/>
          <w:color w:val="222222"/>
          <w:szCs w:val="22"/>
        </w:rPr>
      </w:pPr>
      <w:r w:rsidRPr="009D0D27">
        <w:rPr>
          <w:rFonts w:asciiTheme="majorHAnsi" w:eastAsia="Times New Roman" w:hAnsiTheme="majorHAnsi" w:cs="Times New Roman"/>
          <w:color w:val="073763"/>
          <w:szCs w:val="22"/>
        </w:rPr>
        <w:t>20.  All the people and stakeholders involved will be the partners in the Project.</w:t>
      </w:r>
    </w:p>
    <w:p w:rsidR="003C578D" w:rsidRDefault="003C578D"/>
    <w:sectPr w:rsidR="003C578D" w:rsidSect="003C5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0D27"/>
    <w:rsid w:val="003C578D"/>
    <w:rsid w:val="009D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78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9D0D27"/>
  </w:style>
  <w:style w:type="character" w:styleId="Hyperlink">
    <w:name w:val="Hyperlink"/>
    <w:basedOn w:val="DefaultParagraphFont"/>
    <w:uiPriority w:val="99"/>
    <w:semiHidden/>
    <w:unhideWhenUsed/>
    <w:rsid w:val="009D0D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0OszMJTMCU&amp;t=4s" TargetMode="External"/><Relationship Id="rId4" Type="http://schemas.openxmlformats.org/officeDocument/2006/relationships/hyperlink" Target="https://www.youtube.com/watch?v=ygXcRiTOe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Singh</dc:creator>
  <cp:lastModifiedBy>Manoj Singh</cp:lastModifiedBy>
  <cp:revision>1</cp:revision>
  <dcterms:created xsi:type="dcterms:W3CDTF">2023-01-27T18:54:00Z</dcterms:created>
  <dcterms:modified xsi:type="dcterms:W3CDTF">2023-01-27T18:56:00Z</dcterms:modified>
</cp:coreProperties>
</file>